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5B" w:rsidRDefault="0016325B" w:rsidP="00727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ANGĻU VALODA</w:t>
      </w:r>
    </w:p>
    <w:p w:rsidR="0016325B" w:rsidRDefault="0016325B" w:rsidP="007276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EKSĀMENS 9.KLASEI</w:t>
      </w:r>
    </w:p>
    <w:p w:rsidR="00B177B0" w:rsidRPr="009B436A" w:rsidRDefault="0016325B" w:rsidP="00971F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Eksāmenu kārtoja 271 Tukuma, Jaunpils un Engures novadu 9.klašu skolēns. Skolēnu sasniegumi eksāmenā vērtējami kā ļoti labi. Šogad vidējais apguves koeficients angļu valodas eksāmenā bija-</w:t>
      </w:r>
      <w:r>
        <w:rPr>
          <w:rFonts w:ascii="Times New Roman" w:hAnsi="Times New Roman"/>
          <w:b/>
          <w:sz w:val="24"/>
          <w:szCs w:val="24"/>
        </w:rPr>
        <w:t>0,62</w:t>
      </w:r>
      <w:r>
        <w:rPr>
          <w:rFonts w:ascii="Times New Roman" w:hAnsi="Times New Roman"/>
          <w:sz w:val="24"/>
          <w:szCs w:val="24"/>
        </w:rPr>
        <w:t>, kas ir nedaudz  zemāks kā divos iepriekšējos mācību gados (</w:t>
      </w:r>
      <w:r w:rsidR="007276CA">
        <w:rPr>
          <w:rFonts w:ascii="Times New Roman" w:hAnsi="Times New Roman"/>
          <w:b/>
          <w:sz w:val="24"/>
          <w:szCs w:val="24"/>
        </w:rPr>
        <w:t>0,67;</w:t>
      </w:r>
      <w:r w:rsidRPr="007276CA">
        <w:rPr>
          <w:rFonts w:ascii="Times New Roman" w:hAnsi="Times New Roman"/>
          <w:b/>
          <w:sz w:val="24"/>
          <w:szCs w:val="24"/>
        </w:rPr>
        <w:t>0,63</w:t>
      </w:r>
      <w:r>
        <w:rPr>
          <w:rFonts w:ascii="Times New Roman" w:hAnsi="Times New Roman"/>
          <w:sz w:val="24"/>
          <w:szCs w:val="24"/>
        </w:rPr>
        <w:t>), bet augstāks nekā 2008.-2010.gadā (2008.gadā-</w:t>
      </w:r>
      <w:r w:rsidRPr="007276CA">
        <w:rPr>
          <w:rFonts w:ascii="Times New Roman" w:hAnsi="Times New Roman"/>
          <w:b/>
          <w:sz w:val="24"/>
          <w:szCs w:val="24"/>
        </w:rPr>
        <w:t>0,56,</w:t>
      </w:r>
      <w:r>
        <w:rPr>
          <w:rFonts w:ascii="Times New Roman" w:hAnsi="Times New Roman"/>
          <w:sz w:val="24"/>
          <w:szCs w:val="24"/>
        </w:rPr>
        <w:t xml:space="preserve"> 2009.gadā-</w:t>
      </w:r>
      <w:r w:rsidRPr="007276CA">
        <w:rPr>
          <w:rFonts w:ascii="Times New Roman" w:hAnsi="Times New Roman"/>
          <w:b/>
          <w:sz w:val="24"/>
          <w:szCs w:val="24"/>
        </w:rPr>
        <w:t>0,58</w:t>
      </w:r>
      <w:r>
        <w:rPr>
          <w:rFonts w:ascii="Times New Roman" w:hAnsi="Times New Roman"/>
          <w:sz w:val="24"/>
          <w:szCs w:val="24"/>
        </w:rPr>
        <w:t>, 2010.gadā-</w:t>
      </w:r>
      <w:r w:rsidRPr="007276CA">
        <w:rPr>
          <w:rFonts w:ascii="Times New Roman" w:hAnsi="Times New Roman"/>
          <w:b/>
          <w:sz w:val="24"/>
          <w:szCs w:val="24"/>
        </w:rPr>
        <w:t>0,60</w:t>
      </w:r>
      <w:r>
        <w:rPr>
          <w:rFonts w:ascii="Times New Roman" w:hAnsi="Times New Roman"/>
          <w:sz w:val="24"/>
          <w:szCs w:val="24"/>
        </w:rPr>
        <w:t>).</w:t>
      </w:r>
    </w:p>
    <w:p w:rsidR="00B177B0" w:rsidRDefault="00B177B0">
      <w:r w:rsidRPr="00B177B0">
        <w:rPr>
          <w:noProof/>
          <w:lang w:eastAsia="lv-LV"/>
        </w:rPr>
        <w:drawing>
          <wp:inline distT="0" distB="0" distL="0" distR="0">
            <wp:extent cx="4572000" cy="2743200"/>
            <wp:effectExtent l="19050" t="0" r="19050" b="0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436A" w:rsidRDefault="00801E28" w:rsidP="00801E28">
      <w:r>
        <w:t xml:space="preserve">                                                                             1.d</w:t>
      </w:r>
      <w:r w:rsidR="009B436A">
        <w:t>iagramma</w:t>
      </w:r>
    </w:p>
    <w:p w:rsidR="00801E28" w:rsidRPr="007276CA" w:rsidRDefault="00801E28" w:rsidP="00971F30">
      <w:pPr>
        <w:jc w:val="both"/>
        <w:rPr>
          <w:rFonts w:ascii="Times New Roman" w:hAnsi="Times New Roman"/>
          <w:sz w:val="24"/>
          <w:szCs w:val="24"/>
        </w:rPr>
      </w:pPr>
      <w:r w:rsidRPr="007276CA">
        <w:rPr>
          <w:rFonts w:ascii="Times New Roman" w:hAnsi="Times New Roman"/>
          <w:sz w:val="24"/>
          <w:szCs w:val="24"/>
        </w:rPr>
        <w:t xml:space="preserve">Tikai </w:t>
      </w:r>
      <w:r w:rsidRPr="007276CA">
        <w:rPr>
          <w:rFonts w:ascii="Times New Roman" w:hAnsi="Times New Roman"/>
          <w:b/>
          <w:sz w:val="24"/>
          <w:szCs w:val="24"/>
        </w:rPr>
        <w:t>1%</w:t>
      </w:r>
      <w:r w:rsidRPr="007276CA">
        <w:rPr>
          <w:rFonts w:ascii="Times New Roman" w:hAnsi="Times New Roman"/>
          <w:sz w:val="24"/>
          <w:szCs w:val="24"/>
        </w:rPr>
        <w:t xml:space="preserve"> skolēnu( skat.1.diagrammu)  šajā gadā ieguvis nepietiekamu vērtējumu, kas ir vislabākais rādītājs pēdējo sešu gadu laikā(skat.2.diagrammu). </w:t>
      </w:r>
      <w:r w:rsidRPr="007276CA">
        <w:rPr>
          <w:rFonts w:ascii="Times New Roman" w:hAnsi="Times New Roman"/>
          <w:b/>
          <w:sz w:val="24"/>
          <w:szCs w:val="24"/>
        </w:rPr>
        <w:t>17%</w:t>
      </w:r>
      <w:r w:rsidRPr="007276CA">
        <w:rPr>
          <w:rFonts w:ascii="Times New Roman" w:hAnsi="Times New Roman"/>
          <w:sz w:val="24"/>
          <w:szCs w:val="24"/>
        </w:rPr>
        <w:t xml:space="preserve"> skolēnu ieguvuši augstu vērtējumu, kas ir ļoti labs rādītājs.</w:t>
      </w:r>
      <w:r w:rsidR="007276CA" w:rsidRPr="007276CA">
        <w:rPr>
          <w:rFonts w:ascii="Times New Roman" w:hAnsi="Times New Roman"/>
          <w:sz w:val="24"/>
          <w:szCs w:val="24"/>
        </w:rPr>
        <w:t xml:space="preserve"> Pēdējo trīs gadu laikā pieaudzis to skolēnu skaits, kuri ieguvuši pietiekamu vērtējumu ( 2011.g.-</w:t>
      </w:r>
      <w:r w:rsidR="007276CA" w:rsidRPr="007276CA">
        <w:rPr>
          <w:rFonts w:ascii="Times New Roman" w:hAnsi="Times New Roman"/>
          <w:b/>
          <w:sz w:val="24"/>
          <w:szCs w:val="24"/>
        </w:rPr>
        <w:t>25%</w:t>
      </w:r>
      <w:r w:rsidR="007276CA" w:rsidRPr="007276CA">
        <w:rPr>
          <w:rFonts w:ascii="Times New Roman" w:hAnsi="Times New Roman"/>
          <w:sz w:val="24"/>
          <w:szCs w:val="24"/>
        </w:rPr>
        <w:t>, 2012.g.-</w:t>
      </w:r>
      <w:r w:rsidR="007276CA" w:rsidRPr="007276CA">
        <w:rPr>
          <w:rFonts w:ascii="Times New Roman" w:hAnsi="Times New Roman"/>
          <w:b/>
          <w:sz w:val="24"/>
          <w:szCs w:val="24"/>
        </w:rPr>
        <w:t>33,2%,</w:t>
      </w:r>
      <w:r w:rsidR="007276CA" w:rsidRPr="007276CA">
        <w:rPr>
          <w:rFonts w:ascii="Times New Roman" w:hAnsi="Times New Roman"/>
          <w:sz w:val="24"/>
          <w:szCs w:val="24"/>
        </w:rPr>
        <w:t xml:space="preserve"> 2013.g.-</w:t>
      </w:r>
      <w:r w:rsidR="007276CA" w:rsidRPr="007276CA">
        <w:rPr>
          <w:rFonts w:ascii="Times New Roman" w:hAnsi="Times New Roman"/>
          <w:b/>
          <w:sz w:val="24"/>
          <w:szCs w:val="24"/>
        </w:rPr>
        <w:t>36,5%</w:t>
      </w:r>
      <w:r w:rsidR="007276CA" w:rsidRPr="007276CA">
        <w:rPr>
          <w:rFonts w:ascii="Times New Roman" w:hAnsi="Times New Roman"/>
          <w:sz w:val="24"/>
          <w:szCs w:val="24"/>
        </w:rPr>
        <w:t>), bet nedaudz samazinājies to skolēnu skaits, kuri ieguvuši optimālu vērtējumu (2011.g.-</w:t>
      </w:r>
      <w:r w:rsidR="007276CA" w:rsidRPr="001803D5">
        <w:rPr>
          <w:rFonts w:ascii="Times New Roman" w:hAnsi="Times New Roman"/>
          <w:b/>
          <w:sz w:val="24"/>
          <w:szCs w:val="24"/>
        </w:rPr>
        <w:t>52%</w:t>
      </w:r>
      <w:r w:rsidR="007276CA" w:rsidRPr="007276CA">
        <w:rPr>
          <w:rFonts w:ascii="Times New Roman" w:hAnsi="Times New Roman"/>
          <w:sz w:val="24"/>
          <w:szCs w:val="24"/>
        </w:rPr>
        <w:t>, 2012.g.-</w:t>
      </w:r>
      <w:r w:rsidR="007276CA" w:rsidRPr="001803D5">
        <w:rPr>
          <w:rFonts w:ascii="Times New Roman" w:hAnsi="Times New Roman"/>
          <w:b/>
          <w:sz w:val="24"/>
          <w:szCs w:val="24"/>
        </w:rPr>
        <w:t>48,4%,</w:t>
      </w:r>
      <w:r w:rsidR="007276CA" w:rsidRPr="007276CA">
        <w:rPr>
          <w:rFonts w:ascii="Times New Roman" w:hAnsi="Times New Roman"/>
          <w:sz w:val="24"/>
          <w:szCs w:val="24"/>
        </w:rPr>
        <w:t xml:space="preserve"> 2013.g.-</w:t>
      </w:r>
      <w:r w:rsidR="007276CA" w:rsidRPr="001803D5">
        <w:rPr>
          <w:rFonts w:ascii="Times New Roman" w:hAnsi="Times New Roman"/>
          <w:b/>
          <w:sz w:val="24"/>
          <w:szCs w:val="24"/>
        </w:rPr>
        <w:t>45,3%</w:t>
      </w:r>
      <w:r w:rsidR="007276CA" w:rsidRPr="007276CA">
        <w:rPr>
          <w:rFonts w:ascii="Times New Roman" w:hAnsi="Times New Roman"/>
          <w:sz w:val="24"/>
          <w:szCs w:val="24"/>
        </w:rPr>
        <w:t>).</w:t>
      </w:r>
    </w:p>
    <w:p w:rsidR="00801E28" w:rsidRDefault="00801E28" w:rsidP="009B436A">
      <w:r>
        <w:rPr>
          <w:noProof/>
          <w:lang w:eastAsia="lv-LV"/>
        </w:rPr>
        <w:drawing>
          <wp:inline distT="0" distB="0" distL="0" distR="0" wp14:anchorId="3902841A" wp14:editId="055C9B8F">
            <wp:extent cx="4572000" cy="2743200"/>
            <wp:effectExtent l="0" t="0" r="19050" b="19050"/>
            <wp:docPr id="2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1E28" w:rsidRDefault="00801E28" w:rsidP="009B436A">
      <w:r>
        <w:t xml:space="preserve">                                                                                2.diagramma</w:t>
      </w:r>
    </w:p>
    <w:p w:rsidR="009B436A" w:rsidRDefault="0082049D" w:rsidP="00971F30">
      <w:pPr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lastRenderedPageBreak/>
        <w:t>Salīdzinot skolēnu sasniegumus atsevišķās valodas prasmēs( skat.3.diagrammu), jāsecina, ka visās prasmēs skolēni parādījuši ļoti labas zināšanas. Vislabākie sasniegumi skolēniem ir runāšanas prasmēs (vid.apg.k.-</w:t>
      </w:r>
      <w:r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0,73</w:t>
      </w:r>
      <w:r>
        <w:rPr>
          <w:rFonts w:ascii="Times New Roman" w:hAnsi="Times New Roman"/>
          <w:noProof/>
          <w:sz w:val="24"/>
          <w:szCs w:val="24"/>
          <w:lang w:eastAsia="lv-LV"/>
        </w:rPr>
        <w:t>),kā</w:t>
      </w:r>
      <w:r w:rsidR="001803D5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arī rakstīšanas prasmēs-</w:t>
      </w:r>
      <w:r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</w:t>
      </w:r>
      <w:r>
        <w:rPr>
          <w:rFonts w:ascii="Times New Roman" w:hAnsi="Times New Roman"/>
          <w:noProof/>
          <w:sz w:val="24"/>
          <w:szCs w:val="24"/>
          <w:lang w:eastAsia="lv-LV"/>
        </w:rPr>
        <w:t>. Šogad skolēni parādījuši labas zināšanas valodas lietojuma uzdevumos, kuri parast</w:t>
      </w:r>
      <w:r w:rsidR="001803D5">
        <w:rPr>
          <w:rFonts w:ascii="Times New Roman" w:hAnsi="Times New Roman"/>
          <w:noProof/>
          <w:sz w:val="24"/>
          <w:szCs w:val="24"/>
          <w:lang w:eastAsia="lv-LV"/>
        </w:rPr>
        <w:t>i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sagādā vislielākās grūtības.Labākus rezultātus varētu vēlēties klausīšanās uzdevumos, kuros vidējais apguves koeficients bija tikai </w:t>
      </w:r>
      <w:r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0,53</w:t>
      </w:r>
      <w:r>
        <w:rPr>
          <w:rFonts w:ascii="Times New Roman" w:hAnsi="Times New Roman"/>
          <w:noProof/>
          <w:sz w:val="24"/>
          <w:szCs w:val="24"/>
          <w:lang w:eastAsia="lv-LV"/>
        </w:rPr>
        <w:t>, kas</w:t>
      </w:r>
      <w:r w:rsidR="002D7D51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ir zemākais</w:t>
      </w:r>
      <w:r w:rsidR="002D7D51">
        <w:rPr>
          <w:rFonts w:ascii="Times New Roman" w:hAnsi="Times New Roman"/>
          <w:noProof/>
          <w:sz w:val="24"/>
          <w:szCs w:val="24"/>
          <w:lang w:eastAsia="lv-LV"/>
        </w:rPr>
        <w:t xml:space="preserve"> pēdējo sešu gadu laikā (skat.4.diagrammu). Skolēnu lasīšanas un rakstīšanas prasmes prasmes uzlabojušās pēdējo sešu gadu laikā.</w:t>
      </w:r>
      <w:r w:rsidR="001803D5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2D7D51">
        <w:rPr>
          <w:rFonts w:ascii="Times New Roman" w:hAnsi="Times New Roman"/>
          <w:noProof/>
          <w:sz w:val="24"/>
          <w:szCs w:val="24"/>
          <w:lang w:eastAsia="lv-LV"/>
        </w:rPr>
        <w:t xml:space="preserve">Katru gadu skolēni parāda labas runāšanas prasmes. Arī šogad vidējais apguves koeficients runāšanas prasmēs bija </w:t>
      </w:r>
      <w:r w:rsidR="002D7D51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0,73.</w:t>
      </w:r>
    </w:p>
    <w:p w:rsidR="0082049D" w:rsidRDefault="0082049D" w:rsidP="00971F30">
      <w:pPr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82049D" w:rsidRDefault="0082049D" w:rsidP="009B436A">
      <w:r>
        <w:rPr>
          <w:noProof/>
          <w:lang w:eastAsia="lv-LV"/>
        </w:rPr>
        <w:drawing>
          <wp:inline distT="0" distB="0" distL="0" distR="0" wp14:anchorId="312165B8" wp14:editId="0D7CA1B3">
            <wp:extent cx="4572000" cy="2743200"/>
            <wp:effectExtent l="0" t="0" r="19050" b="19050"/>
            <wp:docPr id="3" name="Diagram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049D" w:rsidRDefault="0082049D" w:rsidP="009B436A">
      <w:r>
        <w:t xml:space="preserve">                                                            3.diagramma</w:t>
      </w:r>
    </w:p>
    <w:p w:rsidR="009B436A" w:rsidRDefault="002D7D51" w:rsidP="002D7D51">
      <w:r>
        <w:rPr>
          <w:noProof/>
          <w:lang w:eastAsia="lv-LV"/>
        </w:rPr>
        <w:drawing>
          <wp:inline distT="0" distB="0" distL="0" distR="0" wp14:anchorId="6C58FF0A" wp14:editId="1A6060AB">
            <wp:extent cx="4638675" cy="2743200"/>
            <wp:effectExtent l="0" t="0" r="9525" b="19050"/>
            <wp:docPr id="5" name="Diagram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7D51" w:rsidRDefault="002D7D51" w:rsidP="002D7D51">
      <w:r>
        <w:t xml:space="preserve">                                                             4.diagramma</w:t>
      </w:r>
    </w:p>
    <w:p w:rsidR="00931439" w:rsidRDefault="00931439" w:rsidP="00971F30">
      <w:pPr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lastRenderedPageBreak/>
        <w:t xml:space="preserve">Visaugstākie vidējie apguves koeficienti ekšamenā kopumā (skat. 5.diagrammu) ir 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 xml:space="preserve">Tukuma Raiņa ģimnāzijai ( </w:t>
      </w:r>
      <w:r w:rsidR="000E0EFB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0,74</w:t>
      </w:r>
      <w:r>
        <w:rPr>
          <w:rFonts w:ascii="Times New Roman" w:hAnsi="Times New Roman"/>
          <w:noProof/>
          <w:sz w:val="24"/>
          <w:szCs w:val="24"/>
          <w:lang w:eastAsia="lv-LV"/>
        </w:rPr>
        <w:t>),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 xml:space="preserve"> Tukuma 2.vidusskolai(</w:t>
      </w:r>
      <w:r w:rsidR="000E0EFB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0,72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>) un Tukuma 2.pamatskolai (</w:t>
      </w:r>
      <w:r w:rsidR="000E0EFB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>). Viszemākei apguves koeficienti ir Irlavas vidusskolai (</w:t>
      </w:r>
      <w:r w:rsidR="000E0EFB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0,46),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 xml:space="preserve"> Engures vidusskolai( </w:t>
      </w:r>
      <w:r w:rsidR="000E0EFB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0,53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>) un Tukuma Vakara un neklāteines vidusskolai</w:t>
      </w:r>
      <w:r w:rsidR="001803D5">
        <w:rPr>
          <w:rFonts w:ascii="Times New Roman" w:hAnsi="Times New Roman"/>
          <w:noProof/>
          <w:sz w:val="24"/>
          <w:szCs w:val="24"/>
          <w:lang w:eastAsia="lv-LV"/>
        </w:rPr>
        <w:t xml:space="preserve">( </w:t>
      </w:r>
      <w:r w:rsidR="001803D5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0,54</w:t>
      </w:r>
      <w:r w:rsidR="001803D5">
        <w:rPr>
          <w:rFonts w:ascii="Times New Roman" w:hAnsi="Times New Roman"/>
          <w:noProof/>
          <w:sz w:val="24"/>
          <w:szCs w:val="24"/>
          <w:lang w:eastAsia="lv-LV"/>
        </w:rPr>
        <w:t>)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>.</w:t>
      </w:r>
    </w:p>
    <w:p w:rsidR="00931439" w:rsidRDefault="00931439" w:rsidP="002D7D51">
      <w:r>
        <w:rPr>
          <w:noProof/>
          <w:lang w:eastAsia="lv-LV"/>
        </w:rPr>
        <w:drawing>
          <wp:inline distT="0" distB="0" distL="0" distR="0" wp14:anchorId="34706B17" wp14:editId="5BF26A2E">
            <wp:extent cx="5114925" cy="2952750"/>
            <wp:effectExtent l="0" t="0" r="9525" b="19050"/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1439" w:rsidRDefault="00931439" w:rsidP="009B436A">
      <w:pPr>
        <w:pStyle w:val="Sarakstarindkopa"/>
        <w:ind w:left="4440"/>
      </w:pPr>
      <w:r>
        <w:t>5.diagramma</w:t>
      </w:r>
    </w:p>
    <w:p w:rsidR="009B436A" w:rsidRDefault="009B436A" w:rsidP="009B436A">
      <w:pPr>
        <w:pStyle w:val="Sarakstarindkopa"/>
        <w:ind w:left="4440"/>
      </w:pPr>
    </w:p>
    <w:p w:rsidR="009B436A" w:rsidRDefault="009B436A" w:rsidP="009B436A">
      <w:pPr>
        <w:pStyle w:val="Sarakstarindkopa"/>
        <w:ind w:left="4440"/>
      </w:pPr>
    </w:p>
    <w:p w:rsidR="000E0EFB" w:rsidRDefault="000E0EFB" w:rsidP="000E0EFB">
      <w:r>
        <w:rPr>
          <w:noProof/>
          <w:lang w:eastAsia="lv-LV"/>
        </w:rPr>
        <w:drawing>
          <wp:inline distT="0" distB="0" distL="0" distR="0" wp14:anchorId="70D11661" wp14:editId="121A64B7">
            <wp:extent cx="5486400" cy="3479165"/>
            <wp:effectExtent l="0" t="0" r="19050" b="26035"/>
            <wp:docPr id="7" name="Diagram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0EFB" w:rsidRDefault="000E0EFB" w:rsidP="000E0EFB">
      <w:r>
        <w:t xml:space="preserve">                                                                                      6.diagramma</w:t>
      </w:r>
    </w:p>
    <w:p w:rsidR="000E0EFB" w:rsidRDefault="000E0EFB" w:rsidP="000E0EFB"/>
    <w:p w:rsidR="001B13D8" w:rsidRDefault="000E0EFB" w:rsidP="00971F3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6</w:t>
      </w:r>
      <w:r w:rsidRPr="001E4444">
        <w:rPr>
          <w:rFonts w:ascii="Times New Roman" w:hAnsi="Times New Roman"/>
          <w:noProof/>
          <w:sz w:val="24"/>
          <w:szCs w:val="24"/>
          <w:lang w:eastAsia="lv-LV"/>
        </w:rPr>
        <w:t>.diagrammā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attēloti vidējie apguves koeficienti angļu valodas eksāmenā Tukuma, Jaunpils un Engures novadu skolās pēdējo četru</w:t>
      </w:r>
      <w:r w:rsidR="00CF4048">
        <w:rPr>
          <w:rFonts w:ascii="Times New Roman" w:hAnsi="Times New Roman"/>
          <w:noProof/>
          <w:sz w:val="24"/>
          <w:szCs w:val="24"/>
          <w:lang w:eastAsia="lv-LV"/>
        </w:rPr>
        <w:t xml:space="preserve"> gadu laikā. 8 skolās vidējie apguves koeficienti ir paaugstinājušies, bet 6 skolās samazinājušie, salīdzinot ar pagājušo gadu. </w:t>
      </w:r>
      <w:r w:rsidR="00A20C83">
        <w:rPr>
          <w:rFonts w:ascii="Times New Roman" w:hAnsi="Times New Roman"/>
          <w:noProof/>
          <w:sz w:val="24"/>
          <w:szCs w:val="24"/>
          <w:lang w:eastAsia="lv-LV"/>
        </w:rPr>
        <w:t xml:space="preserve">Vidējie apguves koeficienti 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šogad </w:t>
      </w:r>
      <w:r w:rsidR="00A20C83">
        <w:rPr>
          <w:rFonts w:ascii="Times New Roman" w:hAnsi="Times New Roman"/>
          <w:noProof/>
          <w:sz w:val="24"/>
          <w:szCs w:val="24"/>
          <w:lang w:eastAsia="lv-LV"/>
        </w:rPr>
        <w:t>ļoti samazinājušies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 Engures vidusskolā ( 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0,63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 un 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0,53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), Lapmežciema pamatskolā (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0,74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 un 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0,65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), savukārt Smārdes pamatskolā vērojams vislielākais kāpums 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( 0,55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 un 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0,62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).</w:t>
      </w:r>
    </w:p>
    <w:tbl>
      <w:tblPr>
        <w:tblW w:w="19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1B13D8" w:rsidRPr="001B13D8" w:rsidTr="001B13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D8" w:rsidRPr="001B13D8" w:rsidRDefault="001B13D8" w:rsidP="00971F3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D8" w:rsidRPr="001B13D8" w:rsidRDefault="001B13D8" w:rsidP="00971F3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</w:p>
        </w:tc>
      </w:tr>
    </w:tbl>
    <w:p w:rsidR="000E0EFB" w:rsidRDefault="00CF4048" w:rsidP="00971F3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Pēdējo četru</w:t>
      </w:r>
      <w:r w:rsidR="000E0EFB">
        <w:rPr>
          <w:rFonts w:ascii="Times New Roman" w:hAnsi="Times New Roman"/>
          <w:noProof/>
          <w:sz w:val="24"/>
          <w:szCs w:val="24"/>
          <w:lang w:eastAsia="lv-LV"/>
        </w:rPr>
        <w:t xml:space="preserve"> gadu laikā ļoti labi sasniegumi bijuši Tukuma Raiņa ģimnāzijā, Tukuma 2. vidusskolā un Tukuma 2. pamatskolā.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E2453C">
        <w:rPr>
          <w:rFonts w:ascii="Times New Roman" w:hAnsi="Times New Roman"/>
          <w:noProof/>
          <w:sz w:val="24"/>
          <w:szCs w:val="24"/>
          <w:lang w:eastAsia="lv-LV"/>
        </w:rPr>
        <w:t xml:space="preserve">Neskatoties uz augstajiem rādītājiem 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Tukuma Raiņa ģimnāzijā</w:t>
      </w:r>
      <w:r w:rsidR="00E2453C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 xml:space="preserve"> pēdējo trīs gadu laikā vidējie apguves koeficienti </w:t>
      </w:r>
      <w:r w:rsidR="00E2453C">
        <w:rPr>
          <w:rFonts w:ascii="Times New Roman" w:hAnsi="Times New Roman"/>
          <w:noProof/>
          <w:sz w:val="24"/>
          <w:szCs w:val="24"/>
          <w:lang w:eastAsia="lv-LV"/>
        </w:rPr>
        <w:t xml:space="preserve">šajā skolā 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samazinājušies ( 2011.g.-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0,82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; 2012.g.-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0,77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; 2013.g.-</w:t>
      </w:r>
      <w:r w:rsidR="001B13D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0,74</w:t>
      </w:r>
      <w:r w:rsidR="001B13D8">
        <w:rPr>
          <w:rFonts w:ascii="Times New Roman" w:hAnsi="Times New Roman"/>
          <w:noProof/>
          <w:sz w:val="24"/>
          <w:szCs w:val="24"/>
          <w:lang w:eastAsia="lv-LV"/>
        </w:rPr>
        <w:t>).</w:t>
      </w:r>
    </w:p>
    <w:p w:rsidR="001803D5" w:rsidRDefault="001803D5" w:rsidP="001B13D8">
      <w:pPr>
        <w:spacing w:after="0"/>
        <w:rPr>
          <w:rFonts w:ascii="Times New Roman" w:hAnsi="Times New Roman"/>
          <w:noProof/>
          <w:sz w:val="24"/>
          <w:szCs w:val="24"/>
          <w:lang w:eastAsia="lv-LV"/>
        </w:rPr>
      </w:pPr>
    </w:p>
    <w:p w:rsidR="000E0EFB" w:rsidRDefault="00CF4048" w:rsidP="000E0EFB">
      <w:r>
        <w:rPr>
          <w:noProof/>
          <w:lang w:eastAsia="lv-LV"/>
        </w:rPr>
        <w:drawing>
          <wp:inline distT="0" distB="0" distL="0" distR="0" wp14:anchorId="49B86C48" wp14:editId="10310615">
            <wp:extent cx="4572000" cy="2743200"/>
            <wp:effectExtent l="0" t="0" r="19050" b="19050"/>
            <wp:docPr id="8" name="Diagram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4048" w:rsidRDefault="00CF4048" w:rsidP="000E0EFB">
      <w:r>
        <w:t xml:space="preserve">                                                                              7.diagramma</w:t>
      </w:r>
    </w:p>
    <w:p w:rsidR="00CF4048" w:rsidRDefault="00CF4048" w:rsidP="00971F30">
      <w:pPr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Salīdzinot skolēnu iegūto vidējo vērtējumu ballēs eksāmenā un gadā (skat.7.diagrammu), varam secināt, ka gandrīz visās skolā vidējie vērtējumi eksāmenā ir augstāki nekā vērtējumi gadā, vai arī ti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>e ir gandrīz vienādi. Tikai divās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skolās vidējais vērtējums eksāmenā ir zemāks nekā skolēnu vidējais vērtējums gadā ( 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>Engures vidusskola,Jaunpils vidusskola</w:t>
      </w:r>
      <w:r>
        <w:rPr>
          <w:rFonts w:ascii="Times New Roman" w:hAnsi="Times New Roman"/>
          <w:noProof/>
          <w:sz w:val="24"/>
          <w:szCs w:val="24"/>
          <w:lang w:eastAsia="lv-LV"/>
        </w:rPr>
        <w:t>).</w:t>
      </w:r>
      <w:r w:rsidR="00616038">
        <w:rPr>
          <w:rFonts w:ascii="Times New Roman" w:hAnsi="Times New Roman"/>
          <w:noProof/>
          <w:sz w:val="24"/>
          <w:szCs w:val="24"/>
          <w:lang w:eastAsia="lv-LV"/>
        </w:rPr>
        <w:t xml:space="preserve"> Lielākajai daļai skolēnu iegūtais vērtējums eksāmenā sakrīt ar vērtējumu gadā, vai arī tas atšķiras vienas balles robežās.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 xml:space="preserve"> Vislielākā atšķirība starp vērtējumu eksāmenā un vērtējumu gadā ir Tukuma 2.vidusskol</w:t>
      </w:r>
      <w:r w:rsidR="00616038">
        <w:rPr>
          <w:rFonts w:ascii="Times New Roman" w:hAnsi="Times New Roman"/>
          <w:noProof/>
          <w:sz w:val="24"/>
          <w:szCs w:val="24"/>
          <w:lang w:eastAsia="lv-LV"/>
        </w:rPr>
        <w:t>ā (7.4 un 6.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>6) un Engures vidusskol</w:t>
      </w:r>
      <w:r w:rsidR="00616038">
        <w:rPr>
          <w:rFonts w:ascii="Times New Roman" w:hAnsi="Times New Roman"/>
          <w:noProof/>
          <w:sz w:val="24"/>
          <w:szCs w:val="24"/>
          <w:lang w:eastAsia="lv-LV"/>
        </w:rPr>
        <w:t>ā (5.3 un</w:t>
      </w:r>
      <w:r w:rsidR="001803D5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616038">
        <w:rPr>
          <w:rFonts w:ascii="Times New Roman" w:hAnsi="Times New Roman"/>
          <w:noProof/>
          <w:sz w:val="24"/>
          <w:szCs w:val="24"/>
          <w:lang w:eastAsia="lv-LV"/>
        </w:rPr>
        <w:t>5.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>8).</w:t>
      </w:r>
    </w:p>
    <w:p w:rsidR="00971F30" w:rsidRDefault="001803D5" w:rsidP="00971F3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 xml:space="preserve">Samazinājies vidējais vērtējums eksāmenā un gadā. </w:t>
      </w:r>
      <w:r w:rsidR="00CF4048">
        <w:rPr>
          <w:rFonts w:ascii="Times New Roman" w:hAnsi="Times New Roman"/>
          <w:noProof/>
          <w:sz w:val="24"/>
          <w:szCs w:val="24"/>
          <w:lang w:eastAsia="lv-LV"/>
        </w:rPr>
        <w:t xml:space="preserve">Vidējais vērtējums eksāmenā </w:t>
      </w:r>
      <w:r w:rsidR="00616038">
        <w:rPr>
          <w:rFonts w:ascii="Times New Roman" w:hAnsi="Times New Roman"/>
          <w:noProof/>
          <w:sz w:val="24"/>
          <w:szCs w:val="24"/>
          <w:lang w:eastAsia="lv-LV"/>
        </w:rPr>
        <w:t xml:space="preserve">ballēs novadu skolās- </w:t>
      </w:r>
      <w:r w:rsidR="0061603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6.18</w:t>
      </w:r>
      <w:r w:rsidR="00616038">
        <w:rPr>
          <w:rFonts w:ascii="Times New Roman" w:hAnsi="Times New Roman"/>
          <w:noProof/>
          <w:sz w:val="24"/>
          <w:szCs w:val="24"/>
          <w:lang w:eastAsia="lv-LV"/>
        </w:rPr>
        <w:t xml:space="preserve">( pagājušajā gadā </w:t>
      </w:r>
      <w:r w:rsidR="0061603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6.</w:t>
      </w:r>
      <w:r w:rsidR="00125D8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27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>)</w:t>
      </w:r>
      <w:r w:rsidR="00CF4048">
        <w:rPr>
          <w:rFonts w:ascii="Times New Roman" w:hAnsi="Times New Roman"/>
          <w:noProof/>
          <w:sz w:val="24"/>
          <w:szCs w:val="24"/>
          <w:lang w:eastAsia="lv-LV"/>
        </w:rPr>
        <w:t xml:space="preserve">, bet vidējais gada vērtējums angļu valodā ballēs- </w:t>
      </w:r>
    </w:p>
    <w:p w:rsidR="00CF4048" w:rsidRDefault="00616038" w:rsidP="00971F3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6.</w:t>
      </w:r>
      <w:r w:rsidR="00125D8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06</w:t>
      </w:r>
      <w:r w:rsidR="00125D88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( pagājušajā gadā-</w:t>
      </w:r>
      <w:r w:rsidR="00CF4048" w:rsidRPr="001803D5">
        <w:rPr>
          <w:rFonts w:ascii="Times New Roman" w:hAnsi="Times New Roman"/>
          <w:b/>
          <w:noProof/>
          <w:sz w:val="24"/>
          <w:szCs w:val="24"/>
          <w:lang w:eastAsia="lv-LV"/>
        </w:rPr>
        <w:t>6.16</w:t>
      </w:r>
      <w:r>
        <w:rPr>
          <w:rFonts w:ascii="Times New Roman" w:hAnsi="Times New Roman"/>
          <w:noProof/>
          <w:sz w:val="24"/>
          <w:szCs w:val="24"/>
          <w:lang w:eastAsia="lv-LV"/>
        </w:rPr>
        <w:t>)</w:t>
      </w:r>
      <w:r w:rsidR="00CF4048">
        <w:rPr>
          <w:rFonts w:ascii="Times New Roman" w:hAnsi="Times New Roman"/>
          <w:noProof/>
          <w:sz w:val="24"/>
          <w:szCs w:val="24"/>
          <w:lang w:eastAsia="lv-LV"/>
        </w:rPr>
        <w:t xml:space="preserve">. </w:t>
      </w:r>
    </w:p>
    <w:p w:rsidR="00CF4048" w:rsidRDefault="00616038" w:rsidP="000E0EFB">
      <w:r>
        <w:t xml:space="preserve">                                                                            </w:t>
      </w:r>
      <w:bookmarkStart w:id="0" w:name="_GoBack"/>
      <w:bookmarkEnd w:id="0"/>
      <w:r>
        <w:t xml:space="preserve">                     Sagatavoja: </w:t>
      </w:r>
      <w:r w:rsidR="001803D5">
        <w:t xml:space="preserve">  </w:t>
      </w:r>
      <w:r>
        <w:t xml:space="preserve">MA vadītāja Aiva </w:t>
      </w:r>
      <w:proofErr w:type="spellStart"/>
      <w:r>
        <w:t>Leitāne</w:t>
      </w:r>
      <w:proofErr w:type="spellEnd"/>
    </w:p>
    <w:sectPr w:rsidR="00CF4048" w:rsidSect="009B43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9A3"/>
    <w:multiLevelType w:val="hybridMultilevel"/>
    <w:tmpl w:val="85EAF9D0"/>
    <w:lvl w:ilvl="0" w:tplc="942CC43A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60" w:hanging="360"/>
      </w:pPr>
    </w:lvl>
    <w:lvl w:ilvl="2" w:tplc="0426001B" w:tentative="1">
      <w:start w:val="1"/>
      <w:numFmt w:val="lowerRoman"/>
      <w:lvlText w:val="%3."/>
      <w:lvlJc w:val="right"/>
      <w:pPr>
        <w:ind w:left="5880" w:hanging="180"/>
      </w:pPr>
    </w:lvl>
    <w:lvl w:ilvl="3" w:tplc="0426000F" w:tentative="1">
      <w:start w:val="1"/>
      <w:numFmt w:val="decimal"/>
      <w:lvlText w:val="%4."/>
      <w:lvlJc w:val="left"/>
      <w:pPr>
        <w:ind w:left="6600" w:hanging="360"/>
      </w:pPr>
    </w:lvl>
    <w:lvl w:ilvl="4" w:tplc="04260019" w:tentative="1">
      <w:start w:val="1"/>
      <w:numFmt w:val="lowerLetter"/>
      <w:lvlText w:val="%5."/>
      <w:lvlJc w:val="left"/>
      <w:pPr>
        <w:ind w:left="7320" w:hanging="360"/>
      </w:pPr>
    </w:lvl>
    <w:lvl w:ilvl="5" w:tplc="0426001B" w:tentative="1">
      <w:start w:val="1"/>
      <w:numFmt w:val="lowerRoman"/>
      <w:lvlText w:val="%6."/>
      <w:lvlJc w:val="right"/>
      <w:pPr>
        <w:ind w:left="8040" w:hanging="180"/>
      </w:pPr>
    </w:lvl>
    <w:lvl w:ilvl="6" w:tplc="0426000F" w:tentative="1">
      <w:start w:val="1"/>
      <w:numFmt w:val="decimal"/>
      <w:lvlText w:val="%7."/>
      <w:lvlJc w:val="left"/>
      <w:pPr>
        <w:ind w:left="8760" w:hanging="360"/>
      </w:pPr>
    </w:lvl>
    <w:lvl w:ilvl="7" w:tplc="04260019" w:tentative="1">
      <w:start w:val="1"/>
      <w:numFmt w:val="lowerLetter"/>
      <w:lvlText w:val="%8."/>
      <w:lvlJc w:val="left"/>
      <w:pPr>
        <w:ind w:left="9480" w:hanging="360"/>
      </w:pPr>
    </w:lvl>
    <w:lvl w:ilvl="8" w:tplc="0426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77B0"/>
    <w:rsid w:val="000E0EFB"/>
    <w:rsid w:val="00125D88"/>
    <w:rsid w:val="0016325B"/>
    <w:rsid w:val="001803D5"/>
    <w:rsid w:val="001B13D8"/>
    <w:rsid w:val="002D7D51"/>
    <w:rsid w:val="00616038"/>
    <w:rsid w:val="007276CA"/>
    <w:rsid w:val="00754AF8"/>
    <w:rsid w:val="00801E28"/>
    <w:rsid w:val="0082049D"/>
    <w:rsid w:val="00827F3D"/>
    <w:rsid w:val="00931439"/>
    <w:rsid w:val="00971F30"/>
    <w:rsid w:val="009B436A"/>
    <w:rsid w:val="00A20C83"/>
    <w:rsid w:val="00B177B0"/>
    <w:rsid w:val="00CF4048"/>
    <w:rsid w:val="00E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6325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177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77B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B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kolotajs2\Documents\MA\eksamens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\Documents\MA\eksamens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\Documents\MA\eksamens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\Documents\MA\eksamens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\Documents\MA\eksamens201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\Documents\MA\eksamens201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\Documents\MA\eksamens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/>
            </a:pPr>
            <a:r>
              <a:rPr lang="lv-LV" sz="1200" b="1"/>
              <a:t>Skolēnu</a:t>
            </a:r>
            <a:r>
              <a:rPr lang="lv-LV" sz="1200" b="1" baseline="0"/>
              <a:t>  vērtējumi eksāmenā</a:t>
            </a:r>
            <a:endParaRPr lang="en-US" sz="1200" b="1"/>
          </a:p>
        </c:rich>
      </c:tx>
      <c:layout>
        <c:manualLayout>
          <c:xMode val="edge"/>
          <c:yMode val="edge"/>
          <c:x val="0.42100699912510964"/>
          <c:y val="2.777777777777782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'2013.'!$I$31</c:f>
              <c:strCache>
                <c:ptCount val="1"/>
                <c:pt idx="0">
                  <c:v>2013.g.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'2013.'!$H$32:$H$35</c:f>
              <c:strCache>
                <c:ptCount val="4"/>
                <c:pt idx="0">
                  <c:v>nepietiekams</c:v>
                </c:pt>
                <c:pt idx="1">
                  <c:v>pietiekams</c:v>
                </c:pt>
                <c:pt idx="2">
                  <c:v>optimāls</c:v>
                </c:pt>
                <c:pt idx="3">
                  <c:v>augsts</c:v>
                </c:pt>
              </c:strCache>
            </c:strRef>
          </c:cat>
          <c:val>
            <c:numRef>
              <c:f>'2013.'!$I$32:$I$35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36.5</c:v>
                </c:pt>
                <c:pt idx="2">
                  <c:v>45.4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n-lt"/>
              </a:defRPr>
            </a:pPr>
            <a:r>
              <a:rPr lang="lv-LV" sz="1100" b="1">
                <a:latin typeface="+mn-lt"/>
              </a:rPr>
              <a:t>Skolēnu</a:t>
            </a:r>
            <a:r>
              <a:rPr lang="lv-LV" sz="1100" b="1" baseline="0">
                <a:latin typeface="+mn-lt"/>
              </a:rPr>
              <a:t> </a:t>
            </a:r>
            <a:r>
              <a:rPr lang="lv-LV" sz="1200" b="1" baseline="0">
                <a:latin typeface="+mn-lt"/>
              </a:rPr>
              <a:t>vērtējumi</a:t>
            </a:r>
            <a:r>
              <a:rPr lang="lv-LV" sz="1100" b="1" baseline="0">
                <a:latin typeface="+mn-lt"/>
              </a:rPr>
              <a:t> eksāmenā  2008.-2013.g</a:t>
            </a:r>
            <a:endParaRPr lang="lv-LV" sz="1100" b="1">
              <a:latin typeface="+mn-lt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'2013.'!$A$32</c:f>
              <c:strCache>
                <c:ptCount val="1"/>
                <c:pt idx="0">
                  <c:v>nepietiekams</c:v>
                </c:pt>
              </c:strCache>
            </c:strRef>
          </c:tx>
          <c:invertIfNegative val="0"/>
          <c:cat>
            <c:strRef>
              <c:f>'2013.'!$B$31:$G$31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2010.g.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'2013.'!$B$32:$G$32</c:f>
              <c:numCache>
                <c:formatCode>General</c:formatCode>
                <c:ptCount val="6"/>
                <c:pt idx="0">
                  <c:v>5.4</c:v>
                </c:pt>
                <c:pt idx="1">
                  <c:v>3.6</c:v>
                </c:pt>
                <c:pt idx="2">
                  <c:v>4</c:v>
                </c:pt>
                <c:pt idx="3">
                  <c:v>2.5</c:v>
                </c:pt>
                <c:pt idx="4">
                  <c:v>3</c:v>
                </c:pt>
                <c:pt idx="5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'2013.'!$A$33</c:f>
              <c:strCache>
                <c:ptCount val="1"/>
                <c:pt idx="0">
                  <c:v>pietiekams</c:v>
                </c:pt>
              </c:strCache>
            </c:strRef>
          </c:tx>
          <c:invertIfNegative val="0"/>
          <c:cat>
            <c:strRef>
              <c:f>'2013.'!$B$31:$G$31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2010.g.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'2013.'!$B$33:$G$33</c:f>
              <c:numCache>
                <c:formatCode>General</c:formatCode>
                <c:ptCount val="6"/>
                <c:pt idx="0">
                  <c:v>46.2</c:v>
                </c:pt>
                <c:pt idx="1">
                  <c:v>45.2</c:v>
                </c:pt>
                <c:pt idx="2">
                  <c:v>39</c:v>
                </c:pt>
                <c:pt idx="3">
                  <c:v>25</c:v>
                </c:pt>
                <c:pt idx="4">
                  <c:v>33.200000000000003</c:v>
                </c:pt>
                <c:pt idx="5">
                  <c:v>36.5</c:v>
                </c:pt>
              </c:numCache>
            </c:numRef>
          </c:val>
        </c:ser>
        <c:ser>
          <c:idx val="2"/>
          <c:order val="2"/>
          <c:tx>
            <c:strRef>
              <c:f>'2013.'!$A$34</c:f>
              <c:strCache>
                <c:ptCount val="1"/>
                <c:pt idx="0">
                  <c:v>optimāls</c:v>
                </c:pt>
              </c:strCache>
            </c:strRef>
          </c:tx>
          <c:invertIfNegative val="0"/>
          <c:cat>
            <c:strRef>
              <c:f>'2013.'!$B$31:$G$31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2010.g.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'2013.'!$B$34:$G$34</c:f>
              <c:numCache>
                <c:formatCode>General</c:formatCode>
                <c:ptCount val="6"/>
                <c:pt idx="0">
                  <c:v>41.6</c:v>
                </c:pt>
                <c:pt idx="1">
                  <c:v>41.2</c:v>
                </c:pt>
                <c:pt idx="2">
                  <c:v>43</c:v>
                </c:pt>
                <c:pt idx="3">
                  <c:v>52</c:v>
                </c:pt>
                <c:pt idx="4">
                  <c:v>48.4</c:v>
                </c:pt>
                <c:pt idx="5">
                  <c:v>45.4</c:v>
                </c:pt>
              </c:numCache>
            </c:numRef>
          </c:val>
        </c:ser>
        <c:ser>
          <c:idx val="3"/>
          <c:order val="3"/>
          <c:tx>
            <c:strRef>
              <c:f>'2013.'!$A$35</c:f>
              <c:strCache>
                <c:ptCount val="1"/>
                <c:pt idx="0">
                  <c:v>augsts</c:v>
                </c:pt>
              </c:strCache>
            </c:strRef>
          </c:tx>
          <c:invertIfNegative val="0"/>
          <c:cat>
            <c:strRef>
              <c:f>'2013.'!$B$31:$G$31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2010.g.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'2013.'!$B$35:$G$35</c:f>
              <c:numCache>
                <c:formatCode>General</c:formatCode>
                <c:ptCount val="6"/>
                <c:pt idx="0">
                  <c:v>6.8</c:v>
                </c:pt>
                <c:pt idx="1">
                  <c:v>10</c:v>
                </c:pt>
                <c:pt idx="2">
                  <c:v>11</c:v>
                </c:pt>
                <c:pt idx="3">
                  <c:v>20.5</c:v>
                </c:pt>
                <c:pt idx="4">
                  <c:v>15.4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230080"/>
        <c:axId val="125240064"/>
        <c:axId val="0"/>
      </c:bar3DChart>
      <c:catAx>
        <c:axId val="125230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240064"/>
        <c:crosses val="autoZero"/>
        <c:auto val="1"/>
        <c:lblAlgn val="ctr"/>
        <c:lblOffset val="100"/>
        <c:noMultiLvlLbl val="0"/>
      </c:catAx>
      <c:valAx>
        <c:axId val="125240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230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Skolēnu sasniegumi valodas prasmēs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'2013.'!$I$22</c:f>
              <c:strCache>
                <c:ptCount val="1"/>
                <c:pt idx="0">
                  <c:v>2013.g.</c:v>
                </c:pt>
              </c:strCache>
            </c:strRef>
          </c:tx>
          <c:invertIfNegative val="0"/>
          <c:cat>
            <c:strRef>
              <c:f>'2013.'!$H$23:$H$27</c:f>
              <c:strCache>
                <c:ptCount val="5"/>
                <c:pt idx="0">
                  <c:v>Lasīšana</c:v>
                </c:pt>
                <c:pt idx="1">
                  <c:v>Klausīšanās</c:v>
                </c:pt>
                <c:pt idx="2">
                  <c:v>Val.liet.</c:v>
                </c:pt>
                <c:pt idx="3">
                  <c:v>Rakstīšana</c:v>
                </c:pt>
                <c:pt idx="4">
                  <c:v>Runāšana</c:v>
                </c:pt>
              </c:strCache>
            </c:strRef>
          </c:cat>
          <c:val>
            <c:numRef>
              <c:f>'2013.'!$I$23:$I$27</c:f>
              <c:numCache>
                <c:formatCode>General</c:formatCode>
                <c:ptCount val="5"/>
                <c:pt idx="0">
                  <c:v>0.62</c:v>
                </c:pt>
                <c:pt idx="1">
                  <c:v>0.53</c:v>
                </c:pt>
                <c:pt idx="2">
                  <c:v>0.51</c:v>
                </c:pt>
                <c:pt idx="3">
                  <c:v>0.7</c:v>
                </c:pt>
                <c:pt idx="4">
                  <c:v>0.73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5271040"/>
        <c:axId val="125338368"/>
        <c:axId val="0"/>
      </c:bar3DChart>
      <c:catAx>
        <c:axId val="125271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338368"/>
        <c:crosses val="autoZero"/>
        <c:auto val="1"/>
        <c:lblAlgn val="ctr"/>
        <c:lblOffset val="100"/>
        <c:noMultiLvlLbl val="0"/>
      </c:catAx>
      <c:valAx>
        <c:axId val="125338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527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Vid.apg.k. valodas prasmēs 2008.-2013.g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'2013.'!$A$23</c:f>
              <c:strCache>
                <c:ptCount val="1"/>
                <c:pt idx="0">
                  <c:v>Lasīšana</c:v>
                </c:pt>
              </c:strCache>
            </c:strRef>
          </c:tx>
          <c:invertIfNegative val="0"/>
          <c:cat>
            <c:strRef>
              <c:f>'2013.'!$B$22:$G$22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'2013.'!$B$23:$G$23</c:f>
              <c:numCache>
                <c:formatCode>General</c:formatCode>
                <c:ptCount val="6"/>
                <c:pt idx="0">
                  <c:v>0.49</c:v>
                </c:pt>
                <c:pt idx="1">
                  <c:v>0.52</c:v>
                </c:pt>
                <c:pt idx="2">
                  <c:v>0.57999999999999996</c:v>
                </c:pt>
                <c:pt idx="3">
                  <c:v>0.56000000000000005</c:v>
                </c:pt>
                <c:pt idx="4" formatCode="0.00">
                  <c:v>0.64</c:v>
                </c:pt>
                <c:pt idx="5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'2013.'!$A$24</c:f>
              <c:strCache>
                <c:ptCount val="1"/>
                <c:pt idx="0">
                  <c:v>Klausīšanās</c:v>
                </c:pt>
              </c:strCache>
            </c:strRef>
          </c:tx>
          <c:invertIfNegative val="0"/>
          <c:cat>
            <c:strRef>
              <c:f>'2013.'!$B$22:$G$22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'2013.'!$B$24:$G$24</c:f>
              <c:numCache>
                <c:formatCode>General</c:formatCode>
                <c:ptCount val="6"/>
                <c:pt idx="0">
                  <c:v>0.57999999999999996</c:v>
                </c:pt>
                <c:pt idx="1">
                  <c:v>0.67</c:v>
                </c:pt>
                <c:pt idx="2">
                  <c:v>0.61</c:v>
                </c:pt>
                <c:pt idx="3">
                  <c:v>0.76</c:v>
                </c:pt>
                <c:pt idx="4">
                  <c:v>0.6</c:v>
                </c:pt>
                <c:pt idx="5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'2013.'!$A$25</c:f>
              <c:strCache>
                <c:ptCount val="1"/>
                <c:pt idx="0">
                  <c:v>Val.liet.</c:v>
                </c:pt>
              </c:strCache>
            </c:strRef>
          </c:tx>
          <c:invertIfNegative val="0"/>
          <c:cat>
            <c:strRef>
              <c:f>'2013.'!$B$22:$G$22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'2013.'!$B$25:$G$25</c:f>
              <c:numCache>
                <c:formatCode>General</c:formatCode>
                <c:ptCount val="6"/>
                <c:pt idx="0">
                  <c:v>0.47</c:v>
                </c:pt>
                <c:pt idx="1">
                  <c:v>0.4</c:v>
                </c:pt>
                <c:pt idx="2">
                  <c:v>0.48</c:v>
                </c:pt>
                <c:pt idx="3">
                  <c:v>0.64</c:v>
                </c:pt>
                <c:pt idx="4">
                  <c:v>0.48</c:v>
                </c:pt>
                <c:pt idx="5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'2013.'!$A$26</c:f>
              <c:strCache>
                <c:ptCount val="1"/>
                <c:pt idx="0">
                  <c:v>Rakstīšana</c:v>
                </c:pt>
              </c:strCache>
            </c:strRef>
          </c:tx>
          <c:invertIfNegative val="0"/>
          <c:cat>
            <c:strRef>
              <c:f>'2013.'!$B$22:$G$22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'2013.'!$B$26:$G$26</c:f>
              <c:numCache>
                <c:formatCode>General</c:formatCode>
                <c:ptCount val="6"/>
                <c:pt idx="0">
                  <c:v>0.56000000000000005</c:v>
                </c:pt>
                <c:pt idx="1">
                  <c:v>0.57999999999999996</c:v>
                </c:pt>
                <c:pt idx="2">
                  <c:v>0.56999999999999995</c:v>
                </c:pt>
                <c:pt idx="3">
                  <c:v>0.62</c:v>
                </c:pt>
                <c:pt idx="4">
                  <c:v>0.67</c:v>
                </c:pt>
                <c:pt idx="5">
                  <c:v>0.7</c:v>
                </c:pt>
              </c:numCache>
            </c:numRef>
          </c:val>
        </c:ser>
        <c:ser>
          <c:idx val="4"/>
          <c:order val="4"/>
          <c:tx>
            <c:strRef>
              <c:f>'2013.'!$A$27</c:f>
              <c:strCache>
                <c:ptCount val="1"/>
                <c:pt idx="0">
                  <c:v>Runāšana</c:v>
                </c:pt>
              </c:strCache>
            </c:strRef>
          </c:tx>
          <c:invertIfNegative val="0"/>
          <c:cat>
            <c:strRef>
              <c:f>'2013.'!$B$22:$G$22</c:f>
              <c:strCache>
                <c:ptCount val="6"/>
                <c:pt idx="0">
                  <c:v>2008.g.</c:v>
                </c:pt>
                <c:pt idx="1">
                  <c:v>2009.g.</c:v>
                </c:pt>
                <c:pt idx="2">
                  <c:v>2010.g</c:v>
                </c:pt>
                <c:pt idx="3">
                  <c:v>2011.g.</c:v>
                </c:pt>
                <c:pt idx="4">
                  <c:v>2012.g.</c:v>
                </c:pt>
                <c:pt idx="5">
                  <c:v>2013.g.</c:v>
                </c:pt>
              </c:strCache>
            </c:strRef>
          </c:cat>
          <c:val>
            <c:numRef>
              <c:f>'2013.'!$B$27:$G$27</c:f>
              <c:numCache>
                <c:formatCode>General</c:formatCode>
                <c:ptCount val="6"/>
                <c:pt idx="0">
                  <c:v>0.69</c:v>
                </c:pt>
                <c:pt idx="1">
                  <c:v>0.71</c:v>
                </c:pt>
                <c:pt idx="2">
                  <c:v>0.75</c:v>
                </c:pt>
                <c:pt idx="3">
                  <c:v>0.73</c:v>
                </c:pt>
                <c:pt idx="4">
                  <c:v>0.74</c:v>
                </c:pt>
                <c:pt idx="5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612032"/>
        <c:axId val="125613568"/>
        <c:axId val="0"/>
      </c:bar3DChart>
      <c:catAx>
        <c:axId val="125612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613568"/>
        <c:crosses val="autoZero"/>
        <c:auto val="1"/>
        <c:lblAlgn val="ctr"/>
        <c:lblOffset val="100"/>
        <c:noMultiLvlLbl val="0"/>
      </c:catAx>
      <c:valAx>
        <c:axId val="125613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Vid.apg.k.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5612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Vid.apg.k.</a:t>
            </a:r>
            <a:r>
              <a:rPr lang="lv-LV" sz="1200"/>
              <a:t>skolās 2013.g</a:t>
            </a:r>
            <a:r>
              <a:rPr lang="lv-LV"/>
              <a:t>.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'2013.'!$H$2</c:f>
              <c:strCache>
                <c:ptCount val="1"/>
                <c:pt idx="0">
                  <c:v>Vid.apg.k.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'2013.'!$G$3:$G$17</c:f>
              <c:strCache>
                <c:ptCount val="15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  <c:pt idx="14">
                  <c:v>Vid.apg.k.novadā</c:v>
                </c:pt>
              </c:strCache>
            </c:strRef>
          </c:cat>
          <c:val>
            <c:numRef>
              <c:f>'2013.'!$H$3:$H$17</c:f>
              <c:numCache>
                <c:formatCode>General</c:formatCode>
                <c:ptCount val="15"/>
                <c:pt idx="0">
                  <c:v>0.7</c:v>
                </c:pt>
                <c:pt idx="1">
                  <c:v>0.72</c:v>
                </c:pt>
                <c:pt idx="2">
                  <c:v>0.65</c:v>
                </c:pt>
                <c:pt idx="3">
                  <c:v>0.74</c:v>
                </c:pt>
                <c:pt idx="4">
                  <c:v>0.59</c:v>
                </c:pt>
                <c:pt idx="5">
                  <c:v>0.57999999999999996</c:v>
                </c:pt>
                <c:pt idx="6">
                  <c:v>0.53</c:v>
                </c:pt>
                <c:pt idx="7">
                  <c:v>0.46</c:v>
                </c:pt>
                <c:pt idx="8">
                  <c:v>0.57999999999999996</c:v>
                </c:pt>
                <c:pt idx="9">
                  <c:v>0.65</c:v>
                </c:pt>
                <c:pt idx="10">
                  <c:v>0.54</c:v>
                </c:pt>
                <c:pt idx="11">
                  <c:v>0.64</c:v>
                </c:pt>
                <c:pt idx="12">
                  <c:v>0.65</c:v>
                </c:pt>
                <c:pt idx="13">
                  <c:v>0.62</c:v>
                </c:pt>
                <c:pt idx="14" formatCode="0.00">
                  <c:v>0.61785714285714277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89504"/>
        <c:axId val="127612032"/>
      </c:barChart>
      <c:catAx>
        <c:axId val="12518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12032"/>
        <c:crosses val="autoZero"/>
        <c:auto val="1"/>
        <c:lblAlgn val="ctr"/>
        <c:lblOffset val="100"/>
        <c:noMultiLvlLbl val="0"/>
      </c:catAx>
      <c:valAx>
        <c:axId val="12761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18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Vid.apg.k.skolās 2010.-2013..g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'2013.'!$N$2</c:f>
              <c:strCache>
                <c:ptCount val="1"/>
                <c:pt idx="0">
                  <c:v>Vid apg.k.2010.g.</c:v>
                </c:pt>
              </c:strCache>
            </c:strRef>
          </c:tx>
          <c:invertIfNegative val="0"/>
          <c:cat>
            <c:strRef>
              <c:f>'2013.'!$M$3:$M$16</c:f>
              <c:strCache>
                <c:ptCount val="14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</c:strCache>
            </c:strRef>
          </c:cat>
          <c:val>
            <c:numRef>
              <c:f>'2013.'!$N$3:$N$16</c:f>
              <c:numCache>
                <c:formatCode>General</c:formatCode>
                <c:ptCount val="14"/>
                <c:pt idx="0">
                  <c:v>0.7</c:v>
                </c:pt>
                <c:pt idx="1">
                  <c:v>0.69</c:v>
                </c:pt>
                <c:pt idx="2">
                  <c:v>0.5</c:v>
                </c:pt>
                <c:pt idx="3">
                  <c:v>0.74</c:v>
                </c:pt>
                <c:pt idx="4">
                  <c:v>0.54</c:v>
                </c:pt>
                <c:pt idx="5">
                  <c:v>0.55000000000000004</c:v>
                </c:pt>
                <c:pt idx="6">
                  <c:v>0.63</c:v>
                </c:pt>
                <c:pt idx="7">
                  <c:v>0.59</c:v>
                </c:pt>
                <c:pt idx="8">
                  <c:v>0.53</c:v>
                </c:pt>
                <c:pt idx="9">
                  <c:v>0.63</c:v>
                </c:pt>
                <c:pt idx="10">
                  <c:v>0.6</c:v>
                </c:pt>
                <c:pt idx="11">
                  <c:v>0.63</c:v>
                </c:pt>
                <c:pt idx="12">
                  <c:v>0.64</c:v>
                </c:pt>
                <c:pt idx="13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'2013.'!$O$2</c:f>
              <c:strCache>
                <c:ptCount val="1"/>
                <c:pt idx="0">
                  <c:v>Vid.apg.k. 2011.g.</c:v>
                </c:pt>
              </c:strCache>
            </c:strRef>
          </c:tx>
          <c:invertIfNegative val="0"/>
          <c:cat>
            <c:strRef>
              <c:f>'2013.'!$M$3:$M$16</c:f>
              <c:strCache>
                <c:ptCount val="14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</c:strCache>
            </c:strRef>
          </c:cat>
          <c:val>
            <c:numRef>
              <c:f>'2013.'!$O$3:$O$16</c:f>
              <c:numCache>
                <c:formatCode>General</c:formatCode>
                <c:ptCount val="14"/>
                <c:pt idx="0">
                  <c:v>0.78</c:v>
                </c:pt>
                <c:pt idx="1">
                  <c:v>0.74</c:v>
                </c:pt>
                <c:pt idx="2">
                  <c:v>0.63</c:v>
                </c:pt>
                <c:pt idx="3">
                  <c:v>0.82</c:v>
                </c:pt>
                <c:pt idx="4">
                  <c:v>0.67</c:v>
                </c:pt>
                <c:pt idx="5">
                  <c:v>0.73</c:v>
                </c:pt>
                <c:pt idx="6">
                  <c:v>0.64</c:v>
                </c:pt>
                <c:pt idx="7">
                  <c:v>0.46</c:v>
                </c:pt>
                <c:pt idx="8">
                  <c:v>0.66</c:v>
                </c:pt>
                <c:pt idx="9">
                  <c:v>0.69</c:v>
                </c:pt>
                <c:pt idx="10">
                  <c:v>0.66</c:v>
                </c:pt>
                <c:pt idx="11">
                  <c:v>0.68</c:v>
                </c:pt>
                <c:pt idx="12">
                  <c:v>0.59</c:v>
                </c:pt>
                <c:pt idx="13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'2013.'!$P$2</c:f>
              <c:strCache>
                <c:ptCount val="1"/>
                <c:pt idx="0">
                  <c:v>vid apg.k. 2012.g.</c:v>
                </c:pt>
              </c:strCache>
            </c:strRef>
          </c:tx>
          <c:invertIfNegative val="0"/>
          <c:cat>
            <c:strRef>
              <c:f>'2013.'!$M$3:$M$16</c:f>
              <c:strCache>
                <c:ptCount val="14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</c:strCache>
            </c:strRef>
          </c:cat>
          <c:val>
            <c:numRef>
              <c:f>'2013.'!$P$3:$P$16</c:f>
              <c:numCache>
                <c:formatCode>0.00</c:formatCode>
                <c:ptCount val="14"/>
                <c:pt idx="0">
                  <c:v>0.68</c:v>
                </c:pt>
                <c:pt idx="1">
                  <c:v>0.71</c:v>
                </c:pt>
                <c:pt idx="2">
                  <c:v>0.69</c:v>
                </c:pt>
                <c:pt idx="3">
                  <c:v>0.77</c:v>
                </c:pt>
                <c:pt idx="4">
                  <c:v>0.56999999999999995</c:v>
                </c:pt>
                <c:pt idx="5">
                  <c:v>0.64</c:v>
                </c:pt>
                <c:pt idx="6">
                  <c:v>0.63</c:v>
                </c:pt>
                <c:pt idx="7">
                  <c:v>0.52</c:v>
                </c:pt>
                <c:pt idx="8">
                  <c:v>0.56000000000000005</c:v>
                </c:pt>
                <c:pt idx="9">
                  <c:v>0.62</c:v>
                </c:pt>
                <c:pt idx="10">
                  <c:v>0.52</c:v>
                </c:pt>
                <c:pt idx="11">
                  <c:v>0.62</c:v>
                </c:pt>
                <c:pt idx="12">
                  <c:v>0.74</c:v>
                </c:pt>
                <c:pt idx="13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'2013.'!$Q$2</c:f>
              <c:strCache>
                <c:ptCount val="1"/>
                <c:pt idx="0">
                  <c:v>Vid.apg.k.2013.g.</c:v>
                </c:pt>
              </c:strCache>
            </c:strRef>
          </c:tx>
          <c:invertIfNegative val="0"/>
          <c:cat>
            <c:strRef>
              <c:f>'2013.'!$M$3:$M$16</c:f>
              <c:strCache>
                <c:ptCount val="14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</c:strCache>
            </c:strRef>
          </c:cat>
          <c:val>
            <c:numRef>
              <c:f>'2013.'!$Q$3:$Q$16</c:f>
              <c:numCache>
                <c:formatCode>General</c:formatCode>
                <c:ptCount val="14"/>
                <c:pt idx="0">
                  <c:v>0.7</c:v>
                </c:pt>
                <c:pt idx="1">
                  <c:v>0.72</c:v>
                </c:pt>
                <c:pt idx="2">
                  <c:v>0.65</c:v>
                </c:pt>
                <c:pt idx="3">
                  <c:v>0.74</c:v>
                </c:pt>
                <c:pt idx="4">
                  <c:v>0.59</c:v>
                </c:pt>
                <c:pt idx="5">
                  <c:v>0.57999999999999996</c:v>
                </c:pt>
                <c:pt idx="6">
                  <c:v>0.53</c:v>
                </c:pt>
                <c:pt idx="7">
                  <c:v>0.46</c:v>
                </c:pt>
                <c:pt idx="8">
                  <c:v>0.57999999999999996</c:v>
                </c:pt>
                <c:pt idx="9">
                  <c:v>0.65</c:v>
                </c:pt>
                <c:pt idx="10">
                  <c:v>0.54</c:v>
                </c:pt>
                <c:pt idx="11">
                  <c:v>0.64</c:v>
                </c:pt>
                <c:pt idx="12">
                  <c:v>0.65</c:v>
                </c:pt>
                <c:pt idx="13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655296"/>
        <c:axId val="127661184"/>
        <c:axId val="0"/>
      </c:bar3DChart>
      <c:catAx>
        <c:axId val="127655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661184"/>
        <c:crosses val="autoZero"/>
        <c:auto val="1"/>
        <c:lblAlgn val="ctr"/>
        <c:lblOffset val="100"/>
        <c:noMultiLvlLbl val="0"/>
      </c:catAx>
      <c:valAx>
        <c:axId val="127661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765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 sz="1200"/>
              <a:t>Skolēnu</a:t>
            </a:r>
            <a:r>
              <a:rPr lang="lv-LV" sz="1200" baseline="0"/>
              <a:t> vid. vērtēja salīdzinājums eksāmenā un gadā</a:t>
            </a:r>
            <a:endParaRPr lang="lv-LV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'2013.'!$K$2</c:f>
              <c:strCache>
                <c:ptCount val="1"/>
                <c:pt idx="0">
                  <c:v>Vid.atz.eks.</c:v>
                </c:pt>
              </c:strCache>
            </c:strRef>
          </c:tx>
          <c:invertIfNegative val="0"/>
          <c:cat>
            <c:strRef>
              <c:f>'2013.'!$J$3:$J$16</c:f>
              <c:strCache>
                <c:ptCount val="14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</c:strCache>
            </c:strRef>
          </c:cat>
          <c:val>
            <c:numRef>
              <c:f>'2013.'!$K$3:$K$16</c:f>
              <c:numCache>
                <c:formatCode>General</c:formatCode>
                <c:ptCount val="14"/>
                <c:pt idx="0">
                  <c:v>6.8</c:v>
                </c:pt>
                <c:pt idx="1">
                  <c:v>7.4</c:v>
                </c:pt>
                <c:pt idx="2">
                  <c:v>6.6</c:v>
                </c:pt>
                <c:pt idx="3">
                  <c:v>7.4</c:v>
                </c:pt>
                <c:pt idx="4">
                  <c:v>6.1</c:v>
                </c:pt>
                <c:pt idx="5">
                  <c:v>5.8</c:v>
                </c:pt>
                <c:pt idx="6">
                  <c:v>5.3</c:v>
                </c:pt>
                <c:pt idx="7">
                  <c:v>4.5999999999999996</c:v>
                </c:pt>
                <c:pt idx="8">
                  <c:v>5.8</c:v>
                </c:pt>
                <c:pt idx="9">
                  <c:v>6.4</c:v>
                </c:pt>
                <c:pt idx="10">
                  <c:v>5.4</c:v>
                </c:pt>
                <c:pt idx="11">
                  <c:v>6.4</c:v>
                </c:pt>
                <c:pt idx="12">
                  <c:v>6.4</c:v>
                </c:pt>
                <c:pt idx="13">
                  <c:v>6.1</c:v>
                </c:pt>
              </c:numCache>
            </c:numRef>
          </c:val>
        </c:ser>
        <c:ser>
          <c:idx val="1"/>
          <c:order val="1"/>
          <c:tx>
            <c:strRef>
              <c:f>'2013.'!$L$2</c:f>
              <c:strCache>
                <c:ptCount val="1"/>
                <c:pt idx="0">
                  <c:v>Vid.atz.gadā</c:v>
                </c:pt>
              </c:strCache>
            </c:strRef>
          </c:tx>
          <c:invertIfNegative val="0"/>
          <c:cat>
            <c:strRef>
              <c:f>'2013.'!$J$3:$J$16</c:f>
              <c:strCache>
                <c:ptCount val="14"/>
                <c:pt idx="0">
                  <c:v>Tukuma 2.psk.</c:v>
                </c:pt>
                <c:pt idx="1">
                  <c:v>Tukuma 2.vsk.</c:v>
                </c:pt>
                <c:pt idx="2">
                  <c:v>Tukuma E.Birznieka-Upīša 1.psk.</c:v>
                </c:pt>
                <c:pt idx="3">
                  <c:v>Tukuma Raiņa ģimn.</c:v>
                </c:pt>
                <c:pt idx="4">
                  <c:v>Zemgales vsk.</c:v>
                </c:pt>
                <c:pt idx="5">
                  <c:v>Džūkstes psk.</c:v>
                </c:pt>
                <c:pt idx="6">
                  <c:v>Engures vsk.</c:v>
                </c:pt>
                <c:pt idx="7">
                  <c:v>Irlavas vsk.</c:v>
                </c:pt>
                <c:pt idx="8">
                  <c:v>Jaunpils vsk.</c:v>
                </c:pt>
                <c:pt idx="9">
                  <c:v>Tumes vsk.</c:v>
                </c:pt>
                <c:pt idx="10">
                  <c:v>Tukuma vak. un nekl.vsk.</c:v>
                </c:pt>
                <c:pt idx="11">
                  <c:v>Pūres psk.</c:v>
                </c:pt>
                <c:pt idx="12">
                  <c:v>Lapmežciema psk.</c:v>
                </c:pt>
                <c:pt idx="13">
                  <c:v>Smārdes psk.</c:v>
                </c:pt>
              </c:strCache>
            </c:strRef>
          </c:cat>
          <c:val>
            <c:numRef>
              <c:f>'2013.'!$L$3:$L$16</c:f>
              <c:numCache>
                <c:formatCode>General</c:formatCode>
                <c:ptCount val="14"/>
                <c:pt idx="0">
                  <c:v>6.9</c:v>
                </c:pt>
                <c:pt idx="1">
                  <c:v>6.6</c:v>
                </c:pt>
                <c:pt idx="2">
                  <c:v>6.2</c:v>
                </c:pt>
                <c:pt idx="3">
                  <c:v>7</c:v>
                </c:pt>
                <c:pt idx="4">
                  <c:v>6.1</c:v>
                </c:pt>
                <c:pt idx="5">
                  <c:v>5.8</c:v>
                </c:pt>
                <c:pt idx="6">
                  <c:v>5.8</c:v>
                </c:pt>
                <c:pt idx="7">
                  <c:v>4.5999999999999996</c:v>
                </c:pt>
                <c:pt idx="8">
                  <c:v>6</c:v>
                </c:pt>
                <c:pt idx="9">
                  <c:v>6.3</c:v>
                </c:pt>
                <c:pt idx="10">
                  <c:v>5</c:v>
                </c:pt>
                <c:pt idx="11">
                  <c:v>6.5</c:v>
                </c:pt>
                <c:pt idx="12">
                  <c:v>6.1</c:v>
                </c:pt>
                <c:pt idx="13">
                  <c:v>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27840"/>
        <c:axId val="130633728"/>
        <c:axId val="0"/>
      </c:bar3DChart>
      <c:catAx>
        <c:axId val="130627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633728"/>
        <c:crosses val="autoZero"/>
        <c:auto val="1"/>
        <c:lblAlgn val="ctr"/>
        <c:lblOffset val="100"/>
        <c:noMultiLvlLbl val="0"/>
      </c:catAx>
      <c:valAx>
        <c:axId val="130633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62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E371-CC76-4A9B-99A4-75BB2A7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Lietāne</dc:creator>
  <cp:lastModifiedBy>Aiva</cp:lastModifiedBy>
  <cp:revision>7</cp:revision>
  <dcterms:created xsi:type="dcterms:W3CDTF">2013-06-13T06:09:00Z</dcterms:created>
  <dcterms:modified xsi:type="dcterms:W3CDTF">2013-06-20T10:29:00Z</dcterms:modified>
</cp:coreProperties>
</file>